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58AAF" w14:textId="77777777" w:rsidR="00732897" w:rsidRPr="00E36DAE" w:rsidRDefault="00E36DAE" w:rsidP="00E36DAE">
      <w:pPr>
        <w:jc w:val="center"/>
        <w:rPr>
          <w:rFonts w:ascii="Times New Roman" w:hAnsi="Times New Roman" w:cs="Times New Roman"/>
          <w:sz w:val="32"/>
          <w:szCs w:val="32"/>
        </w:rPr>
      </w:pPr>
      <w:r w:rsidRPr="00E36DAE">
        <w:rPr>
          <w:rFonts w:ascii="Times New Roman" w:hAnsi="Times New Roman" w:cs="Times New Roman"/>
          <w:sz w:val="32"/>
          <w:szCs w:val="32"/>
        </w:rPr>
        <w:t>Договори</w:t>
      </w:r>
    </w:p>
    <w:p w14:paraId="62A623CE" w14:textId="77777777" w:rsidR="00E36DAE" w:rsidRDefault="00E36DAE" w:rsidP="00EE1AA7">
      <w:pPr>
        <w:tabs>
          <w:tab w:val="left" w:pos="9356"/>
        </w:tabs>
        <w:rPr>
          <w:lang w:val="en-US"/>
        </w:rPr>
      </w:pPr>
    </w:p>
    <w:tbl>
      <w:tblPr>
        <w:tblW w:w="157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3"/>
        <w:gridCol w:w="1668"/>
        <w:gridCol w:w="1559"/>
        <w:gridCol w:w="2693"/>
        <w:gridCol w:w="1275"/>
        <w:gridCol w:w="2835"/>
        <w:gridCol w:w="5220"/>
      </w:tblGrid>
      <w:tr w:rsidR="00537B9B" w:rsidRPr="00487EA9" w14:paraId="796CECCE" w14:textId="77777777" w:rsidTr="00EE1AA7">
        <w:trPr>
          <w:trHeight w:val="136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B87393" w14:textId="77777777" w:rsidR="00537B9B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№ з/п</w:t>
            </w:r>
          </w:p>
          <w:p w14:paraId="31368ACC" w14:textId="77777777" w:rsidR="00537B9B" w:rsidRPr="00487EA9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777706" w14:textId="77777777" w:rsidR="00537B9B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Номер договору (контракту)</w:t>
            </w:r>
          </w:p>
          <w:p w14:paraId="461DDC86" w14:textId="77777777" w:rsidR="00537B9B" w:rsidRPr="00487EA9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Agreement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contract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2A1D521" w14:textId="77777777" w:rsidR="00537B9B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Назва замовника</w:t>
            </w:r>
          </w:p>
          <w:p w14:paraId="1579FB4D" w14:textId="77777777" w:rsidR="00537B9B" w:rsidRPr="00487EA9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Customer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AA882E" w14:textId="77777777" w:rsidR="00537B9B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Предмет договору (контракту)</w:t>
            </w:r>
          </w:p>
          <w:p w14:paraId="4036F09A" w14:textId="77777777" w:rsidR="00537B9B" w:rsidRPr="00487EA9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Subject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agreement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contract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6B91E03" w14:textId="77777777" w:rsidR="00537B9B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Роки виконання</w:t>
            </w:r>
          </w:p>
          <w:p w14:paraId="56C1194D" w14:textId="77777777" w:rsidR="00537B9B" w:rsidRPr="00487EA9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Years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implementation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F4925D" w14:textId="77777777" w:rsidR="00537B9B" w:rsidRPr="008504CB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 xml:space="preserve">Посилання на сайт замовника, </w:t>
            </w:r>
            <w:r>
              <w:rPr>
                <w:rFonts w:ascii="Times New Roman" w:eastAsia="Times New Roman" w:hAnsi="Times New Roman" w:cs="Times New Roman"/>
              </w:rPr>
              <w:t xml:space="preserve">наукового парку </w:t>
            </w:r>
            <w:r w:rsidRPr="00F03D37">
              <w:rPr>
                <w:rFonts w:ascii="Times New Roman" w:eastAsia="Times New Roman" w:hAnsi="Times New Roman" w:cs="Times New Roman"/>
              </w:rPr>
              <w:t>або будь-які інші підтвердження</w:t>
            </w:r>
            <w:r>
              <w:t xml:space="preserve"> </w:t>
            </w:r>
            <w:r>
              <w:br/>
            </w:r>
            <w:r w:rsidRPr="005A7ACE">
              <w:rPr>
                <w:rFonts w:ascii="Times New Roman" w:eastAsia="Times New Roman" w:hAnsi="Times New Roman" w:cs="Times New Roman"/>
              </w:rPr>
              <w:t>(за наявності)</w:t>
            </w:r>
          </w:p>
          <w:p w14:paraId="699FC922" w14:textId="77777777" w:rsidR="00537B9B" w:rsidRPr="00487EA9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customer's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website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science park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any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other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D37">
              <w:rPr>
                <w:rFonts w:ascii="Times New Roman" w:eastAsia="Times New Roman" w:hAnsi="Times New Roman" w:cs="Times New Roman"/>
              </w:rPr>
              <w:t>confirmations</w:t>
            </w:r>
            <w:proofErr w:type="spellEnd"/>
            <w:r w:rsidRPr="00F03D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br/>
            </w:r>
            <w:r w:rsidRPr="005A7AC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A7ACE">
              <w:rPr>
                <w:rFonts w:ascii="Times New Roman" w:eastAsia="Times New Roman" w:hAnsi="Times New Roman" w:cs="Times New Roman"/>
              </w:rPr>
              <w:t>if</w:t>
            </w:r>
            <w:proofErr w:type="spellEnd"/>
            <w:r w:rsidRPr="005A7A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A7ACE">
              <w:rPr>
                <w:rFonts w:ascii="Times New Roman" w:eastAsia="Times New Roman" w:hAnsi="Times New Roman" w:cs="Times New Roman"/>
              </w:rPr>
              <w:t>any</w:t>
            </w:r>
            <w:proofErr w:type="spellEnd"/>
            <w:r w:rsidRPr="005A7AC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04E7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7B9B" w:rsidRPr="00F03D37" w14:paraId="7BFD4A99" w14:textId="77777777" w:rsidTr="00EE1AA7">
        <w:trPr>
          <w:trHeight w:val="2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C58156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DFFACAA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48FC93A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B279D3E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9C8584C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5F0305A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F03D3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D73D" w14:textId="77777777" w:rsidR="00537B9B" w:rsidRPr="00F03D37" w:rsidRDefault="00537B9B" w:rsidP="00B8772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37B9B" w:rsidRPr="00F03D37" w14:paraId="3F13D754" w14:textId="77777777" w:rsidTr="00EE1AA7">
        <w:trPr>
          <w:trHeight w:val="413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F436AA" w14:textId="77777777" w:rsidR="00537B9B" w:rsidRDefault="00537B9B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14:paraId="3B0C8019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7D76EEA5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737F8CED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7C8F1E9E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3D8FF063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395C5F89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073467C5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7005206A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58CA54FE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51BB5736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71735A71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46C50B32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33672948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0E2BD3BF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05F94907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2AEF70B7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3F23D122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42B51F9" w14:textId="77777777" w:rsidR="00C12360" w:rsidRDefault="00537B9B" w:rsidP="00B8772B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 w:rsidRPr="00AB3574">
              <w:rPr>
                <w:rFonts w:ascii="Times New Roman" w:eastAsia="Times New Roman" w:hAnsi="Times New Roman" w:cs="Times New Roman"/>
              </w:rPr>
              <w:t xml:space="preserve">Договір №3 </w:t>
            </w:r>
          </w:p>
          <w:p w14:paraId="5C1AE170" w14:textId="4DD6EF4E" w:rsidR="00537B9B" w:rsidRDefault="00537B9B" w:rsidP="00B8772B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 w:rsidRPr="00AB3574">
              <w:rPr>
                <w:rFonts w:ascii="Times New Roman" w:eastAsia="Times New Roman" w:hAnsi="Times New Roman" w:cs="Times New Roman"/>
              </w:rPr>
              <w:t xml:space="preserve">від </w:t>
            </w:r>
            <w:r w:rsidR="00C12360"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 w:rsidRPr="00AB3574">
              <w:rPr>
                <w:rFonts w:ascii="Times New Roman" w:eastAsia="Times New Roman" w:hAnsi="Times New Roman" w:cs="Times New Roman"/>
              </w:rPr>
              <w:t xml:space="preserve"> </w:t>
            </w:r>
            <w:r w:rsidR="00C12360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proofErr w:type="spellStart"/>
            <w:r w:rsidR="00C12360">
              <w:rPr>
                <w:rFonts w:ascii="Times New Roman" w:eastAsia="Times New Roman" w:hAnsi="Times New Roman" w:cs="Times New Roman"/>
              </w:rPr>
              <w:t>ерп</w:t>
            </w:r>
            <w:r w:rsidRPr="00AB3574">
              <w:rPr>
                <w:rFonts w:ascii="Times New Roman" w:eastAsia="Times New Roman" w:hAnsi="Times New Roman" w:cs="Times New Roman"/>
              </w:rPr>
              <w:t>ня</w:t>
            </w:r>
            <w:proofErr w:type="spellEnd"/>
            <w:r w:rsidRPr="00AB3574">
              <w:rPr>
                <w:rFonts w:ascii="Times New Roman" w:eastAsia="Times New Roman" w:hAnsi="Times New Roman" w:cs="Times New Roman"/>
              </w:rPr>
              <w:t xml:space="preserve"> 20</w:t>
            </w:r>
            <w:r w:rsidR="00C12360">
              <w:rPr>
                <w:rFonts w:ascii="Times New Roman" w:eastAsia="Times New Roman" w:hAnsi="Times New Roman" w:cs="Times New Roman"/>
              </w:rPr>
              <w:t>21</w:t>
            </w:r>
            <w:r w:rsidRPr="00AB3574">
              <w:rPr>
                <w:rFonts w:ascii="Times New Roman" w:eastAsia="Times New Roman" w:hAnsi="Times New Roman" w:cs="Times New Roman"/>
              </w:rPr>
              <w:t xml:space="preserve"> р</w:t>
            </w:r>
          </w:p>
          <w:p w14:paraId="0E476899" w14:textId="77777777" w:rsidR="00537B9B" w:rsidRDefault="00537B9B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5390507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2782C1B9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5E4EAA80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4B86635F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25EF89D8" w14:textId="77777777" w:rsidR="00537B9B" w:rsidRDefault="00070C4D" w:rsidP="00B8772B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 w:rsidRPr="00901A70">
              <w:rPr>
                <w:rFonts w:ascii="Times New Roman" w:eastAsia="Times New Roman" w:hAnsi="Times New Roman" w:cs="Times New Roman"/>
                <w:lang w:val="en-US"/>
              </w:rPr>
              <w:t>Agreement No</w:t>
            </w:r>
            <w:r w:rsidRPr="00901A70">
              <w:rPr>
                <w:rFonts w:ascii="Times New Roman" w:eastAsia="Times New Roman" w:hAnsi="Times New Roman" w:cs="Times New Roman"/>
              </w:rPr>
              <w:t xml:space="preserve">. 3 </w:t>
            </w:r>
            <w:r w:rsidRPr="00901A70">
              <w:rPr>
                <w:rFonts w:ascii="Times New Roman" w:eastAsia="Times New Roman" w:hAnsi="Times New Roman" w:cs="Times New Roman"/>
                <w:lang w:val="en-US"/>
              </w:rPr>
              <w:t>dated August 1</w:t>
            </w:r>
            <w:r w:rsidRPr="00901A70">
              <w:rPr>
                <w:rFonts w:ascii="Times New Roman" w:eastAsia="Times New Roman" w:hAnsi="Times New Roman" w:cs="Times New Roman"/>
              </w:rPr>
              <w:t>7</w:t>
            </w:r>
            <w:r w:rsidRPr="00901A70">
              <w:rPr>
                <w:rFonts w:ascii="Times New Roman" w:eastAsia="Times New Roman" w:hAnsi="Times New Roman" w:cs="Times New Roman"/>
                <w:lang w:val="en-US"/>
              </w:rPr>
              <w:t>, 202</w:t>
            </w:r>
            <w:r w:rsidRPr="00901A70">
              <w:rPr>
                <w:rFonts w:ascii="Times New Roman" w:eastAsia="Times New Roman" w:hAnsi="Times New Roman" w:cs="Times New Roman"/>
              </w:rPr>
              <w:t>1</w:t>
            </w:r>
          </w:p>
          <w:p w14:paraId="045EE74E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688C2175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25B2CF5C" w14:textId="77777777" w:rsidR="00901A70" w:rsidRPr="00901A70" w:rsidRDefault="00901A70" w:rsidP="00901A70">
            <w:pPr>
              <w:rPr>
                <w:rFonts w:ascii="Times New Roman" w:eastAsia="Times New Roman" w:hAnsi="Times New Roman" w:cs="Times New Roman"/>
              </w:rPr>
            </w:pPr>
          </w:p>
          <w:p w14:paraId="64846011" w14:textId="45AE7BE8" w:rsidR="00901A70" w:rsidRPr="00901A70" w:rsidRDefault="00901A70" w:rsidP="00901A7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D7604FB" w14:textId="31F19D70" w:rsidR="00C12360" w:rsidRPr="00C12360" w:rsidRDefault="00C12360" w:rsidP="00C1236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12360">
              <w:rPr>
                <w:rFonts w:ascii="Times New Roman" w:eastAsia="Times New Roman" w:hAnsi="Times New Roman" w:cs="Times New Roman"/>
              </w:rPr>
              <w:t xml:space="preserve">Товариство з обмеженою </w:t>
            </w:r>
            <w:proofErr w:type="spellStart"/>
            <w:r w:rsidRPr="00C12360">
              <w:rPr>
                <w:rFonts w:ascii="Times New Roman" w:eastAsia="Times New Roman" w:hAnsi="Times New Roman" w:cs="Times New Roman"/>
              </w:rPr>
              <w:t>відповадальні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C12360">
              <w:rPr>
                <w:rFonts w:ascii="Times New Roman" w:eastAsia="Times New Roman" w:hAnsi="Times New Roman" w:cs="Times New Roman"/>
              </w:rPr>
              <w:t>гю</w:t>
            </w:r>
            <w:proofErr w:type="spellEnd"/>
            <w:r w:rsidRPr="00C12360">
              <w:rPr>
                <w:rFonts w:ascii="Times New Roman" w:eastAsia="Times New Roman" w:hAnsi="Times New Roman" w:cs="Times New Roman"/>
              </w:rPr>
              <w:t xml:space="preserve"> «УКРРЕСУРСИ-2011» </w:t>
            </w:r>
          </w:p>
          <w:p w14:paraId="7AF1C313" w14:textId="1172C941" w:rsidR="00C12360" w:rsidRDefault="00C12360" w:rsidP="00C1236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684223A0" w14:textId="77777777" w:rsidR="009F204D" w:rsidRDefault="009F204D" w:rsidP="00C12360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E6E688F" w14:textId="59D5FCC0" w:rsidR="00537B9B" w:rsidRPr="00EE1AA7" w:rsidRDefault="00070C4D" w:rsidP="00EE1AA7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70C4D">
              <w:rPr>
                <w:rFonts w:ascii="Times New Roman" w:eastAsia="Times New Roman" w:hAnsi="Times New Roman" w:cs="Times New Roman"/>
              </w:rPr>
              <w:t>Limited</w:t>
            </w:r>
            <w:proofErr w:type="spellEnd"/>
            <w:r w:rsidRPr="00070C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0C4D">
              <w:rPr>
                <w:rFonts w:ascii="Times New Roman" w:eastAsia="Times New Roman" w:hAnsi="Times New Roman" w:cs="Times New Roman"/>
              </w:rPr>
              <w:t>Liability</w:t>
            </w:r>
            <w:proofErr w:type="spellEnd"/>
            <w:r w:rsidRPr="00070C4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0C4D"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 w:rsidRPr="00070C4D">
              <w:rPr>
                <w:rFonts w:ascii="Times New Roman" w:eastAsia="Times New Roman" w:hAnsi="Times New Roman" w:cs="Times New Roman"/>
              </w:rPr>
              <w:t xml:space="preserve"> "UKRRESURSY-2011"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2331B3" w14:textId="77777777" w:rsidR="00B03EC9" w:rsidRPr="00B03EC9" w:rsidRDefault="00B03EC9" w:rsidP="00B03E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03EC9">
              <w:rPr>
                <w:rFonts w:ascii="Times New Roman" w:eastAsia="Times New Roman" w:hAnsi="Times New Roman" w:cs="Times New Roman"/>
              </w:rPr>
              <w:t>Експертна оцінка, коригування та редагування «Проекту Регіонального плану управління відходами Одеської області до 2030 року»</w:t>
            </w:r>
          </w:p>
          <w:p w14:paraId="50A21A5C" w14:textId="77777777" w:rsidR="00EE1AA7" w:rsidRDefault="00EE1AA7" w:rsidP="00EE1AA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931481E" w14:textId="2E2F0663" w:rsidR="00537B9B" w:rsidRPr="00EE1AA7" w:rsidRDefault="00B03EC9" w:rsidP="00EE1AA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Expert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assessment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adjustment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editing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Draft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Regional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Waste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Odesa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region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until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2030"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2A8A7B4" w14:textId="5AB82E83" w:rsidR="00537B9B" w:rsidRPr="00A24924" w:rsidRDefault="00537B9B" w:rsidP="00844D29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A1784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ECB08A3" w14:textId="77777777" w:rsidR="00537B9B" w:rsidRDefault="00EE1AA7" w:rsidP="00B8772B">
            <w:pPr>
              <w:ind w:firstLine="0"/>
              <w:rPr>
                <w:lang w:val="en-US"/>
              </w:rPr>
            </w:pPr>
            <w:hyperlink r:id="rId6" w:history="1">
              <w:r w:rsidR="00A17843" w:rsidRPr="008920B1">
                <w:rPr>
                  <w:rStyle w:val="a4"/>
                </w:rPr>
                <w:t>https://ukreko.com.ua/uk/</w:t>
              </w:r>
            </w:hyperlink>
            <w:r w:rsidR="00A17843">
              <w:rPr>
                <w:lang w:val="en-US"/>
              </w:rPr>
              <w:t xml:space="preserve"> </w:t>
            </w:r>
          </w:p>
          <w:p w14:paraId="76B20914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9112319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7A01316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21AC10E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B03A290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357691E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48F779B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A4EFA5B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0011143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E1F0BBB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381C250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AF283AD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3C4DF8B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10793F7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400A3CF" w14:textId="77777777" w:rsidR="00035F26" w:rsidRPr="00035F26" w:rsidRDefault="00035F26" w:rsidP="00035F2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B366115" w14:textId="7036C9B5" w:rsidR="00035F26" w:rsidRPr="00035F26" w:rsidRDefault="00035F26" w:rsidP="00035F2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8B6915" w14:textId="77777777" w:rsidR="00070C4D" w:rsidRPr="00A17843" w:rsidRDefault="00070C4D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Надано наукові послуги, а саме: </w:t>
            </w:r>
            <w:r w:rsidRPr="00A17843">
              <w:rPr>
                <w:rFonts w:ascii="Times New Roman" w:eastAsia="Times New Roman" w:hAnsi="Times New Roman" w:cs="Times New Roman"/>
              </w:rPr>
              <w:t>Експертна оцінка, коригування та редагування «Проекту Регіонального плану управління відходами Одеської області до 2030 року» (пункту 3.7 «Фінансово-економічне забезпечення системи (інвестиційний план)», розділу IV «Індикатори та моніторинг виконання плану»), ДК 021:2015:90710000-7 екологічний менеджмент.</w:t>
            </w:r>
          </w:p>
          <w:p w14:paraId="5C86EBE0" w14:textId="014E3077" w:rsidR="00537B9B" w:rsidRPr="00035F26" w:rsidRDefault="00113A6B" w:rsidP="00EE1AA7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Scientific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services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were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provided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namely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Expert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assessment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adjustment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editing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Draft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Regional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Waste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Odessa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Region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until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2030" (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paragraph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3.7 "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economic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system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investment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)",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section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IV "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Indicators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monitoring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implementation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plan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"), DK 021:2015:90710000-7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environmental</w:t>
            </w:r>
            <w:proofErr w:type="spellEnd"/>
            <w:r w:rsidRPr="00113A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13A6B">
              <w:rPr>
                <w:rFonts w:ascii="Times New Roman" w:eastAsia="Times New Roman" w:hAnsi="Times New Roman" w:cs="Times New Roman"/>
              </w:rPr>
              <w:t>management</w:t>
            </w:r>
            <w:bookmarkStart w:id="0" w:name="_GoBack"/>
            <w:bookmarkEnd w:id="0"/>
            <w:proofErr w:type="spellEnd"/>
          </w:p>
        </w:tc>
      </w:tr>
      <w:tr w:rsidR="00537B9B" w:rsidRPr="00F03D37" w14:paraId="673815A7" w14:textId="77777777" w:rsidTr="00EE1AA7">
        <w:trPr>
          <w:trHeight w:val="2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7387B04" w14:textId="77777777" w:rsidR="00537B9B" w:rsidRDefault="00537B9B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4CD44FEC" w14:textId="77777777" w:rsidR="00537B9B" w:rsidRPr="00F03D37" w:rsidRDefault="00537B9B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0AFA2A" w14:textId="04A9060F" w:rsidR="00537B9B" w:rsidRDefault="006E71D8" w:rsidP="00B8772B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537B9B" w:rsidRPr="00AB3574">
              <w:rPr>
                <w:rFonts w:ascii="Times New Roman" w:eastAsia="Times New Roman" w:hAnsi="Times New Roman" w:cs="Times New Roman"/>
              </w:rPr>
              <w:t>оговір №</w:t>
            </w:r>
            <w:r w:rsidR="00236FD0">
              <w:rPr>
                <w:rFonts w:ascii="Times New Roman" w:eastAsia="Times New Roman" w:hAnsi="Times New Roman" w:cs="Times New Roman"/>
                <w:lang w:val="en-US"/>
              </w:rPr>
              <w:t>07-04</w:t>
            </w:r>
            <w:r w:rsidR="00537B9B" w:rsidRPr="00AB3574">
              <w:rPr>
                <w:rFonts w:ascii="Times New Roman" w:eastAsia="Times New Roman" w:hAnsi="Times New Roman" w:cs="Times New Roman"/>
              </w:rPr>
              <w:t>/</w:t>
            </w:r>
            <w:r w:rsidR="00236FD0">
              <w:rPr>
                <w:rFonts w:ascii="Times New Roman" w:eastAsia="Times New Roman" w:hAnsi="Times New Roman" w:cs="Times New Roman"/>
                <w:lang w:val="en-US"/>
              </w:rPr>
              <w:t>2021</w:t>
            </w:r>
            <w:r w:rsidR="00537B9B" w:rsidRPr="00AB3574">
              <w:rPr>
                <w:rFonts w:ascii="Times New Roman" w:eastAsia="Times New Roman" w:hAnsi="Times New Roman" w:cs="Times New Roman"/>
              </w:rPr>
              <w:t xml:space="preserve"> від </w:t>
            </w:r>
            <w:r w:rsidR="00236FD0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="00236FD0">
              <w:rPr>
                <w:rFonts w:ascii="Times New Roman" w:eastAsia="Times New Roman" w:hAnsi="Times New Roman" w:cs="Times New Roman"/>
              </w:rPr>
              <w:t xml:space="preserve"> </w:t>
            </w:r>
            <w:r w:rsidR="00537B9B" w:rsidRPr="00AB3574">
              <w:rPr>
                <w:rFonts w:ascii="Times New Roman" w:eastAsia="Times New Roman" w:hAnsi="Times New Roman" w:cs="Times New Roman"/>
              </w:rPr>
              <w:t>ли</w:t>
            </w:r>
            <w:r w:rsidR="00236FD0">
              <w:rPr>
                <w:rFonts w:ascii="Times New Roman" w:eastAsia="Times New Roman" w:hAnsi="Times New Roman" w:cs="Times New Roman"/>
              </w:rPr>
              <w:t>пня</w:t>
            </w:r>
            <w:r w:rsidR="00537B9B" w:rsidRPr="00AB3574">
              <w:rPr>
                <w:rFonts w:ascii="Times New Roman" w:eastAsia="Times New Roman" w:hAnsi="Times New Roman" w:cs="Times New Roman"/>
              </w:rPr>
              <w:t xml:space="preserve"> 20</w:t>
            </w:r>
            <w:r w:rsidR="00236FD0">
              <w:rPr>
                <w:rFonts w:ascii="Times New Roman" w:eastAsia="Times New Roman" w:hAnsi="Times New Roman" w:cs="Times New Roman"/>
              </w:rPr>
              <w:t>21</w:t>
            </w:r>
            <w:r w:rsidR="00537B9B" w:rsidRPr="00AB3574">
              <w:rPr>
                <w:rFonts w:ascii="Times New Roman" w:eastAsia="Times New Roman" w:hAnsi="Times New Roman" w:cs="Times New Roman"/>
              </w:rPr>
              <w:t xml:space="preserve"> р</w:t>
            </w:r>
          </w:p>
          <w:p w14:paraId="282BC02D" w14:textId="77777777" w:rsidR="00537B9B" w:rsidRDefault="00537B9B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6536679B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3319015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5DA1974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4B0F75C5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2B25DF82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66FC4901" w14:textId="77777777" w:rsid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4F716040" w14:textId="77777777" w:rsidR="00EE1AA7" w:rsidRPr="00EE1AA7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31784A8D" w14:textId="7AC9C1F2" w:rsidR="00537B9B" w:rsidRPr="009003DF" w:rsidRDefault="00113A6B" w:rsidP="00B8772B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 w:rsidRPr="00035F2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Agreement No</w:t>
            </w:r>
            <w:r w:rsidRPr="00035F26">
              <w:rPr>
                <w:rFonts w:ascii="Times New Roman" w:eastAsia="Times New Roman" w:hAnsi="Times New Roman" w:cs="Times New Roman"/>
              </w:rPr>
              <w:t xml:space="preserve">. 07-04/2021 </w:t>
            </w:r>
            <w:r w:rsidRPr="00035F26">
              <w:rPr>
                <w:rFonts w:ascii="Times New Roman" w:eastAsia="Times New Roman" w:hAnsi="Times New Roman" w:cs="Times New Roman"/>
                <w:lang w:val="en-US"/>
              </w:rPr>
              <w:t>dated July 19, 202</w:t>
            </w:r>
            <w:r w:rsidRPr="00035F2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541758" w14:textId="78E25ADE" w:rsidR="00537B9B" w:rsidRDefault="00A215C9" w:rsidP="00A215C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A215C9">
              <w:rPr>
                <w:rFonts w:ascii="Times New Roman" w:eastAsia="Times New Roman" w:hAnsi="Times New Roman" w:cs="Times New Roman"/>
              </w:rPr>
              <w:lastRenderedPageBreak/>
              <w:t xml:space="preserve"> Департамент економічної політики та стратегічного планування Одеської обласної державної </w:t>
            </w:r>
            <w:proofErr w:type="spellStart"/>
            <w:r w:rsidRPr="00A215C9">
              <w:rPr>
                <w:rFonts w:ascii="Times New Roman" w:eastAsia="Times New Roman" w:hAnsi="Times New Roman" w:cs="Times New Roman"/>
              </w:rPr>
              <w:t>адміністраці</w:t>
            </w:r>
            <w:r w:rsidR="00113A6B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</w:p>
          <w:p w14:paraId="013F88FC" w14:textId="77777777" w:rsidR="00113A6B" w:rsidRDefault="00113A6B" w:rsidP="00A215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012A2508" w14:textId="77777777" w:rsidR="00DD6CF7" w:rsidRDefault="00DD6CF7" w:rsidP="00A215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56B53F90" w14:textId="0B7ACD7F" w:rsidR="00113A6B" w:rsidRDefault="00B03EC9" w:rsidP="00A215C9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lastRenderedPageBreak/>
              <w:t>Department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Economic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Policy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Strategic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Planning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Odessa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Regional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State</w:t>
            </w:r>
            <w:proofErr w:type="spellEnd"/>
            <w:r w:rsidRPr="00B03E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3EC9">
              <w:rPr>
                <w:rFonts w:ascii="Times New Roman" w:eastAsia="Times New Roman" w:hAnsi="Times New Roman" w:cs="Times New Roman"/>
              </w:rPr>
              <w:t>Administration</w:t>
            </w:r>
            <w:proofErr w:type="spellEnd"/>
          </w:p>
          <w:p w14:paraId="4140AEFB" w14:textId="77777777" w:rsidR="00B03EC9" w:rsidRPr="00B03EC9" w:rsidRDefault="00B03EC9" w:rsidP="00A215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69BB6FB5" w14:textId="2F922E2E" w:rsidR="00113A6B" w:rsidRPr="00A215C9" w:rsidRDefault="00113A6B" w:rsidP="00A215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FA664D9" w14:textId="77777777" w:rsidR="00901A70" w:rsidRPr="00901A70" w:rsidRDefault="00901A70" w:rsidP="00901A7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01A70">
              <w:rPr>
                <w:rFonts w:ascii="Times New Roman" w:eastAsia="Times New Roman" w:hAnsi="Times New Roman" w:cs="Times New Roman"/>
              </w:rPr>
              <w:lastRenderedPageBreak/>
              <w:t xml:space="preserve">Підготовка науково-експертного висновку щодо можливого економічного ефекту для країни від подовження туристичного сезону на договірних засадах згідно </w:t>
            </w:r>
            <w:r w:rsidRPr="00901A70">
              <w:rPr>
                <w:rFonts w:ascii="Times New Roman" w:eastAsia="Times New Roman" w:hAnsi="Times New Roman" w:cs="Times New Roman"/>
                <w:i/>
                <w:iCs/>
              </w:rPr>
              <w:t>з ДК 021-2015 79310000-0 «Послуги з проведення ринкових досліджень»</w:t>
            </w:r>
          </w:p>
          <w:p w14:paraId="6FAC8C1F" w14:textId="77777777" w:rsidR="00537B9B" w:rsidRDefault="00537B9B" w:rsidP="00901A7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6808016E" w14:textId="50356496" w:rsidR="00901A70" w:rsidRPr="00AE2B6B" w:rsidRDefault="00901A70" w:rsidP="00901A7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lastRenderedPageBreak/>
              <w:t>Preparation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scientific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expert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opinion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possible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economic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effect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country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from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extension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tourist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season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contractual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basis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accordance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DK 021-2015 79310000-0 "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Market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services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>"</w:t>
            </w:r>
          </w:p>
          <w:p w14:paraId="49887C85" w14:textId="1D288DE8" w:rsidR="00537B9B" w:rsidRPr="00901A70" w:rsidRDefault="00537B9B" w:rsidP="006E71D8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41DCC84" w14:textId="0C058154" w:rsidR="00537B9B" w:rsidRPr="00C5762B" w:rsidRDefault="00537B9B" w:rsidP="00844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20</w:t>
            </w:r>
            <w:r w:rsidR="00236FD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CBB89E9" w14:textId="4F21CAC3" w:rsidR="00537B9B" w:rsidRDefault="00EE1AA7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215C9" w:rsidRPr="008920B1">
                <w:rPr>
                  <w:rStyle w:val="a4"/>
                  <w:rFonts w:ascii="Times New Roman" w:eastAsia="Times New Roman" w:hAnsi="Times New Roman" w:cs="Times New Roman"/>
                </w:rPr>
                <w:t>https://eko.od.gov.ua</w:t>
              </w:r>
            </w:hyperlink>
          </w:p>
          <w:p w14:paraId="563BA165" w14:textId="6F31BD92" w:rsidR="00A215C9" w:rsidRPr="00F03D37" w:rsidRDefault="00A215C9" w:rsidP="00B8772B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62D2" w14:textId="77777777" w:rsidR="00070C4D" w:rsidRDefault="00070C4D" w:rsidP="00070C4D">
            <w:pPr>
              <w:ind w:firstLine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Надано</w:t>
            </w:r>
            <w:r w:rsidRPr="00A80E86">
              <w:rPr>
                <w:rFonts w:ascii="Times New Roman" w:eastAsia="Times New Roman" w:hAnsi="Times New Roman" w:cs="Times New Roman"/>
              </w:rPr>
              <w:t xml:space="preserve"> послуг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A80E86">
              <w:rPr>
                <w:rFonts w:ascii="Times New Roman" w:eastAsia="Times New Roman" w:hAnsi="Times New Roman" w:cs="Times New Roman"/>
              </w:rPr>
              <w:t xml:space="preserve"> із підготовки науково-експертного висновку щодо можливого економічного ефекту для країни від подовження туристичного сезону на договірних засадах згідно </w:t>
            </w:r>
            <w:r w:rsidRPr="00A80E86">
              <w:rPr>
                <w:rFonts w:ascii="Times New Roman" w:eastAsia="Times New Roman" w:hAnsi="Times New Roman" w:cs="Times New Roman"/>
                <w:i/>
                <w:iCs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A80E86">
              <w:rPr>
                <w:rFonts w:ascii="Times New Roman" w:eastAsia="Times New Roman" w:hAnsi="Times New Roman" w:cs="Times New Roman"/>
                <w:i/>
                <w:iCs/>
              </w:rPr>
              <w:t xml:space="preserve">ДК 021-2015 79310000-0 «Послуги з проведення ринкових досліджень» </w:t>
            </w:r>
          </w:p>
          <w:p w14:paraId="3F3E56B0" w14:textId="77777777" w:rsidR="002970B0" w:rsidRDefault="002970B0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7898FD7" w14:textId="77777777" w:rsidR="00EE1AA7" w:rsidRDefault="00EE1AA7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73601B32" w14:textId="77777777" w:rsidR="00EE1AA7" w:rsidRDefault="00EE1AA7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4900432D" w14:textId="77777777" w:rsidR="00EE1AA7" w:rsidRDefault="00EE1AA7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2A1DF27C" w14:textId="77777777" w:rsidR="00EE1AA7" w:rsidRDefault="00EE1AA7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59EC506B" w14:textId="77777777" w:rsidR="00EE1AA7" w:rsidRPr="00A80E86" w:rsidRDefault="00EE1AA7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41F4CBB7" w14:textId="12BF7DF3" w:rsidR="00537B9B" w:rsidRPr="00A80E86" w:rsidRDefault="00901A70" w:rsidP="00070C4D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lastRenderedPageBreak/>
              <w:t>Services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were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provided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preparation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scientific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expert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opinion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possible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economic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effect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country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from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extension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tourist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season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contractual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basis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accordance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DK 021-2015 79310000-0 "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Market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A70">
              <w:rPr>
                <w:rFonts w:ascii="Times New Roman" w:eastAsia="Times New Roman" w:hAnsi="Times New Roman" w:cs="Times New Roman"/>
              </w:rPr>
              <w:t>services</w:t>
            </w:r>
            <w:proofErr w:type="spellEnd"/>
            <w:r w:rsidRPr="00901A70">
              <w:rPr>
                <w:rFonts w:ascii="Times New Roman" w:eastAsia="Times New Roman" w:hAnsi="Times New Roman" w:cs="Times New Roman"/>
              </w:rPr>
              <w:t>"</w:t>
            </w:r>
          </w:p>
        </w:tc>
      </w:tr>
    </w:tbl>
    <w:p w14:paraId="70FC2447" w14:textId="77777777" w:rsidR="00E36DAE" w:rsidRPr="00E52429" w:rsidRDefault="00E36DAE"/>
    <w:sectPr w:rsidR="00E36DAE" w:rsidRPr="00E52429" w:rsidSect="006E71D8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AE"/>
    <w:rsid w:val="000311FB"/>
    <w:rsid w:val="00035F26"/>
    <w:rsid w:val="0006322F"/>
    <w:rsid w:val="00070C4D"/>
    <w:rsid w:val="000C6D54"/>
    <w:rsid w:val="00113A6B"/>
    <w:rsid w:val="0018483B"/>
    <w:rsid w:val="00207931"/>
    <w:rsid w:val="00217F15"/>
    <w:rsid w:val="00236FD0"/>
    <w:rsid w:val="002868B9"/>
    <w:rsid w:val="002970B0"/>
    <w:rsid w:val="00383476"/>
    <w:rsid w:val="003B6E4E"/>
    <w:rsid w:val="003B7A84"/>
    <w:rsid w:val="00525A20"/>
    <w:rsid w:val="00537B9B"/>
    <w:rsid w:val="005434AD"/>
    <w:rsid w:val="005D0D89"/>
    <w:rsid w:val="005F20CE"/>
    <w:rsid w:val="00653D8E"/>
    <w:rsid w:val="006E71D8"/>
    <w:rsid w:val="00732897"/>
    <w:rsid w:val="0075128E"/>
    <w:rsid w:val="00807654"/>
    <w:rsid w:val="00817E3A"/>
    <w:rsid w:val="00844D29"/>
    <w:rsid w:val="00853718"/>
    <w:rsid w:val="00901A70"/>
    <w:rsid w:val="009107B8"/>
    <w:rsid w:val="009E0B1E"/>
    <w:rsid w:val="009F204D"/>
    <w:rsid w:val="009F4CC6"/>
    <w:rsid w:val="00A17843"/>
    <w:rsid w:val="00A215C9"/>
    <w:rsid w:val="00A441DB"/>
    <w:rsid w:val="00A80E86"/>
    <w:rsid w:val="00AA04F2"/>
    <w:rsid w:val="00AE2B6B"/>
    <w:rsid w:val="00B03EC9"/>
    <w:rsid w:val="00B13924"/>
    <w:rsid w:val="00BD37ED"/>
    <w:rsid w:val="00C12360"/>
    <w:rsid w:val="00C22E47"/>
    <w:rsid w:val="00C51265"/>
    <w:rsid w:val="00C7591C"/>
    <w:rsid w:val="00CC1C15"/>
    <w:rsid w:val="00D20ACE"/>
    <w:rsid w:val="00D70FC5"/>
    <w:rsid w:val="00D94F09"/>
    <w:rsid w:val="00DD6CF7"/>
    <w:rsid w:val="00E36DAE"/>
    <w:rsid w:val="00E52429"/>
    <w:rsid w:val="00E611FF"/>
    <w:rsid w:val="00EC466F"/>
    <w:rsid w:val="00EE1AA7"/>
    <w:rsid w:val="00F2349B"/>
    <w:rsid w:val="00F43645"/>
    <w:rsid w:val="00F52A91"/>
    <w:rsid w:val="00F67A14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2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AE"/>
    <w:pPr>
      <w:spacing w:after="0" w:line="240" w:lineRule="auto"/>
      <w:ind w:firstLine="709"/>
      <w:jc w:val="both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6DA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71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8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AE"/>
    <w:pPr>
      <w:spacing w:after="0" w:line="240" w:lineRule="auto"/>
      <w:ind w:firstLine="709"/>
      <w:jc w:val="both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6DA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71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ko.od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reko.com.ua/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811C-90E7-48B5-AC2B-BA577B4D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IPREI_23</dc:creator>
  <cp:lastModifiedBy>IPREI_36</cp:lastModifiedBy>
  <cp:revision>25</cp:revision>
  <dcterms:created xsi:type="dcterms:W3CDTF">2025-01-14T07:34:00Z</dcterms:created>
  <dcterms:modified xsi:type="dcterms:W3CDTF">2025-01-15T13:45:00Z</dcterms:modified>
</cp:coreProperties>
</file>